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532D6" w14:textId="5A28E0BD" w:rsidR="00A9204E" w:rsidRDefault="00603059" w:rsidP="000576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Preliminary</w:t>
      </w:r>
      <w:r w:rsidR="00643A88">
        <w:rPr>
          <w:b/>
          <w:bCs/>
          <w:sz w:val="28"/>
          <w:szCs w:val="28"/>
        </w:rPr>
        <w:t xml:space="preserve"> </w:t>
      </w:r>
      <w:r w:rsidR="00950FF2" w:rsidRPr="00D07A66">
        <w:rPr>
          <w:b/>
          <w:bCs/>
          <w:sz w:val="28"/>
          <w:szCs w:val="28"/>
        </w:rPr>
        <w:t>Tr</w:t>
      </w:r>
      <w:r w:rsidR="007218A6">
        <w:rPr>
          <w:b/>
          <w:bCs/>
          <w:sz w:val="28"/>
          <w:szCs w:val="28"/>
        </w:rPr>
        <w:t xml:space="preserve">easurer Report for Year End </w:t>
      </w:r>
      <w:r w:rsidR="00F35247">
        <w:rPr>
          <w:b/>
          <w:bCs/>
          <w:sz w:val="28"/>
          <w:szCs w:val="28"/>
        </w:rPr>
        <w:t>2024</w:t>
      </w:r>
    </w:p>
    <w:p w14:paraId="50677A75" w14:textId="2CD1AB47" w:rsidR="00D07A66" w:rsidRDefault="00D07A66" w:rsidP="00950FF2">
      <w:pPr>
        <w:jc w:val="center"/>
        <w:rPr>
          <w:b/>
          <w:bCs/>
          <w:sz w:val="28"/>
          <w:szCs w:val="28"/>
        </w:rPr>
      </w:pPr>
    </w:p>
    <w:p w14:paraId="02A4954B" w14:textId="78AA9A53" w:rsidR="00D07A66" w:rsidRDefault="00D07A66" w:rsidP="00D07A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Highlights</w:t>
      </w:r>
      <w:r w:rsidR="00085282">
        <w:rPr>
          <w:b/>
          <w:bCs/>
          <w:sz w:val="24"/>
          <w:szCs w:val="24"/>
        </w:rPr>
        <w:t xml:space="preserve"> from the year</w:t>
      </w:r>
      <w:r>
        <w:rPr>
          <w:b/>
          <w:bCs/>
          <w:sz w:val="24"/>
          <w:szCs w:val="24"/>
        </w:rPr>
        <w:t>:</w:t>
      </w:r>
    </w:p>
    <w:p w14:paraId="2DC5BD15" w14:textId="5C512572" w:rsidR="007218A6" w:rsidRDefault="00057696" w:rsidP="00102E7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Our</w:t>
      </w:r>
      <w:r w:rsidR="00102E76">
        <w:rPr>
          <w:sz w:val="24"/>
          <w:szCs w:val="24"/>
        </w:rPr>
        <w:t xml:space="preserve"> 2023 unqualified</w:t>
      </w:r>
      <w:r>
        <w:rPr>
          <w:sz w:val="24"/>
          <w:szCs w:val="24"/>
        </w:rPr>
        <w:t xml:space="preserve"> audit </w:t>
      </w:r>
      <w:r w:rsidR="00F35247">
        <w:rPr>
          <w:sz w:val="24"/>
          <w:szCs w:val="24"/>
        </w:rPr>
        <w:t>was completed and received</w:t>
      </w:r>
      <w:r w:rsidR="00876EF5">
        <w:rPr>
          <w:sz w:val="24"/>
          <w:szCs w:val="24"/>
        </w:rPr>
        <w:t xml:space="preserve"> in Sep</w:t>
      </w:r>
      <w:r w:rsidR="003B2D53">
        <w:rPr>
          <w:sz w:val="24"/>
          <w:szCs w:val="24"/>
        </w:rPr>
        <w:t>tember</w:t>
      </w:r>
      <w:bookmarkStart w:id="0" w:name="_GoBack"/>
      <w:bookmarkEnd w:id="0"/>
      <w:r w:rsidR="00876EF5">
        <w:rPr>
          <w:sz w:val="24"/>
          <w:szCs w:val="24"/>
        </w:rPr>
        <w:t>.</w:t>
      </w:r>
    </w:p>
    <w:p w14:paraId="6F856FEA" w14:textId="1E229BF1" w:rsidR="007218A6" w:rsidRDefault="007218A6" w:rsidP="00876EF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We receiv</w:t>
      </w:r>
      <w:r w:rsidR="00F23D3F">
        <w:rPr>
          <w:sz w:val="24"/>
          <w:szCs w:val="24"/>
        </w:rPr>
        <w:t xml:space="preserve">ed our </w:t>
      </w:r>
      <w:r w:rsidR="00F35247">
        <w:rPr>
          <w:sz w:val="24"/>
          <w:szCs w:val="24"/>
        </w:rPr>
        <w:t>2024</w:t>
      </w:r>
      <w:r w:rsidR="00876EF5">
        <w:rPr>
          <w:sz w:val="24"/>
          <w:szCs w:val="24"/>
        </w:rPr>
        <w:t xml:space="preserve"> level 2</w:t>
      </w:r>
      <w:r w:rsidR="00F23D3F">
        <w:rPr>
          <w:sz w:val="24"/>
          <w:szCs w:val="24"/>
        </w:rPr>
        <w:t xml:space="preserve"> Reserve Study</w:t>
      </w:r>
      <w:r w:rsidR="00490D4B">
        <w:rPr>
          <w:sz w:val="24"/>
          <w:szCs w:val="24"/>
        </w:rPr>
        <w:t xml:space="preserve"> </w:t>
      </w:r>
      <w:r w:rsidR="00876EF5">
        <w:rPr>
          <w:sz w:val="24"/>
          <w:szCs w:val="24"/>
        </w:rPr>
        <w:t>in July</w:t>
      </w:r>
      <w:r w:rsidR="00603059">
        <w:rPr>
          <w:sz w:val="24"/>
          <w:szCs w:val="24"/>
        </w:rPr>
        <w:t>.</w:t>
      </w:r>
    </w:p>
    <w:p w14:paraId="6B4351EF" w14:textId="555E5800" w:rsidR="007218A6" w:rsidRDefault="00DB1D91" w:rsidP="003B2D53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2F578F" w:rsidRPr="002F578F">
        <w:rPr>
          <w:sz w:val="24"/>
          <w:szCs w:val="24"/>
        </w:rPr>
        <w:t xml:space="preserve">ur general fund </w:t>
      </w:r>
      <w:r w:rsidR="003B2D53">
        <w:rPr>
          <w:sz w:val="24"/>
          <w:szCs w:val="24"/>
        </w:rPr>
        <w:t>generated a surplus for the year of $24,004.11 against a budget of $0.</w:t>
      </w:r>
    </w:p>
    <w:p w14:paraId="734FBE29" w14:textId="6A5D3CD1" w:rsidR="00D07A66" w:rsidRDefault="00206937" w:rsidP="003B2D53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FC3FCE" w:rsidRPr="007218A6">
        <w:rPr>
          <w:sz w:val="24"/>
          <w:szCs w:val="24"/>
        </w:rPr>
        <w:t>ur</w:t>
      </w:r>
      <w:r w:rsidR="009D50D9" w:rsidRPr="007218A6">
        <w:rPr>
          <w:sz w:val="24"/>
          <w:szCs w:val="24"/>
        </w:rPr>
        <w:t xml:space="preserve"> reserve fund </w:t>
      </w:r>
      <w:r w:rsidR="003B2D53">
        <w:rPr>
          <w:sz w:val="24"/>
          <w:szCs w:val="24"/>
        </w:rPr>
        <w:t>generated a surplus for the year of $134.02 against a budget of &lt;$20,860&gt;.</w:t>
      </w:r>
    </w:p>
    <w:p w14:paraId="3F60A427" w14:textId="07FC1806" w:rsidR="007218A6" w:rsidRDefault="00F35247" w:rsidP="007218A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For 2025</w:t>
      </w:r>
      <w:r w:rsidR="002178E4">
        <w:rPr>
          <w:sz w:val="24"/>
          <w:szCs w:val="24"/>
        </w:rPr>
        <w:t>, w</w:t>
      </w:r>
      <w:r w:rsidR="007218A6">
        <w:rPr>
          <w:sz w:val="24"/>
          <w:szCs w:val="24"/>
        </w:rPr>
        <w:t xml:space="preserve">e increased </w:t>
      </w:r>
      <w:r>
        <w:rPr>
          <w:sz w:val="24"/>
          <w:szCs w:val="24"/>
        </w:rPr>
        <w:t>the monthly member dues to $575 from $55</w:t>
      </w:r>
      <w:r w:rsidR="00F23D3F">
        <w:rPr>
          <w:sz w:val="24"/>
          <w:szCs w:val="24"/>
        </w:rPr>
        <w:t>0</w:t>
      </w:r>
      <w:r w:rsidR="00A93813">
        <w:rPr>
          <w:sz w:val="24"/>
          <w:szCs w:val="24"/>
        </w:rPr>
        <w:t xml:space="preserve"> to cover anticipated increased operating and reserve </w:t>
      </w:r>
      <w:r w:rsidR="00A756D1">
        <w:rPr>
          <w:sz w:val="24"/>
          <w:szCs w:val="24"/>
        </w:rPr>
        <w:t xml:space="preserve">budgeted </w:t>
      </w:r>
      <w:r w:rsidR="00A93813">
        <w:rPr>
          <w:sz w:val="24"/>
          <w:szCs w:val="24"/>
        </w:rPr>
        <w:t>costs</w:t>
      </w:r>
      <w:r w:rsidR="00A8578C">
        <w:rPr>
          <w:sz w:val="24"/>
          <w:szCs w:val="24"/>
        </w:rPr>
        <w:t>.  The increase was put to a member vote per our bylaws and passed.</w:t>
      </w:r>
    </w:p>
    <w:p w14:paraId="4CD94EF7" w14:textId="7C0751F6" w:rsidR="00876EF5" w:rsidRPr="007218A6" w:rsidRDefault="00876EF5" w:rsidP="007218A6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The Board voted to appropriate the 2024 net operating surplus to reserves.  The preliminary amount is </w:t>
      </w:r>
      <w:r w:rsidR="006D1F5B">
        <w:rPr>
          <w:sz w:val="24"/>
          <w:szCs w:val="24"/>
        </w:rPr>
        <w:t>$24,004.11.  After transfer, the preliminary reserve balance would be $279,509.44.</w:t>
      </w:r>
    </w:p>
    <w:p w14:paraId="77B679DC" w14:textId="77777777" w:rsidR="000227D8" w:rsidRPr="000227D8" w:rsidRDefault="000227D8" w:rsidP="000227D8">
      <w:pPr>
        <w:rPr>
          <w:sz w:val="24"/>
          <w:szCs w:val="24"/>
        </w:rPr>
      </w:pPr>
    </w:p>
    <w:p w14:paraId="2F6588C8" w14:textId="3E4848D7" w:rsidR="00085282" w:rsidRDefault="00085282" w:rsidP="000852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Required reporting items:</w:t>
      </w:r>
    </w:p>
    <w:p w14:paraId="761F287C" w14:textId="2C7BC489" w:rsidR="00BB0D63" w:rsidRPr="006D1F5B" w:rsidRDefault="00A756D1" w:rsidP="006D1F5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Preliminary </w:t>
      </w:r>
      <w:r w:rsidR="002178E4">
        <w:rPr>
          <w:sz w:val="24"/>
          <w:szCs w:val="24"/>
        </w:rPr>
        <w:t>g</w:t>
      </w:r>
      <w:r w:rsidR="00844C11">
        <w:rPr>
          <w:sz w:val="24"/>
          <w:szCs w:val="24"/>
        </w:rPr>
        <w:t xml:space="preserve">eneral </w:t>
      </w:r>
      <w:r w:rsidR="00711C22">
        <w:rPr>
          <w:sz w:val="24"/>
          <w:szCs w:val="24"/>
        </w:rPr>
        <w:t>fund balance as of year-</w:t>
      </w:r>
      <w:r w:rsidR="006D1F5B">
        <w:rPr>
          <w:sz w:val="24"/>
          <w:szCs w:val="24"/>
        </w:rPr>
        <w:t>end 2024</w:t>
      </w:r>
      <w:r w:rsidR="00A93813">
        <w:rPr>
          <w:sz w:val="24"/>
          <w:szCs w:val="24"/>
        </w:rPr>
        <w:t>:</w:t>
      </w:r>
      <w:r w:rsidR="00A93813">
        <w:rPr>
          <w:sz w:val="24"/>
          <w:szCs w:val="24"/>
        </w:rPr>
        <w:tab/>
      </w:r>
      <w:r w:rsidR="00844C11" w:rsidRPr="006D1F5B">
        <w:rPr>
          <w:sz w:val="24"/>
          <w:szCs w:val="24"/>
        </w:rPr>
        <w:t>$</w:t>
      </w:r>
      <w:r w:rsidR="003B2D53">
        <w:rPr>
          <w:sz w:val="24"/>
          <w:szCs w:val="24"/>
        </w:rPr>
        <w:t>44,230.35</w:t>
      </w:r>
      <w:r w:rsidR="006D1F5B">
        <w:rPr>
          <w:sz w:val="24"/>
          <w:szCs w:val="24"/>
        </w:rPr>
        <w:t xml:space="preserve"> </w:t>
      </w:r>
    </w:p>
    <w:p w14:paraId="48006681" w14:textId="7B3D4506" w:rsidR="00844C11" w:rsidRPr="006D1F5B" w:rsidRDefault="00A756D1" w:rsidP="006D1F5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6D1F5B">
        <w:rPr>
          <w:sz w:val="24"/>
          <w:szCs w:val="24"/>
        </w:rPr>
        <w:t>Preliminary</w:t>
      </w:r>
      <w:r w:rsidR="00DB1D91" w:rsidRPr="006D1F5B">
        <w:rPr>
          <w:sz w:val="24"/>
          <w:szCs w:val="24"/>
        </w:rPr>
        <w:t xml:space="preserve"> </w:t>
      </w:r>
      <w:r w:rsidR="002178E4" w:rsidRPr="006D1F5B">
        <w:rPr>
          <w:sz w:val="24"/>
          <w:szCs w:val="24"/>
        </w:rPr>
        <w:t>r</w:t>
      </w:r>
      <w:r w:rsidR="00844C11" w:rsidRPr="006D1F5B">
        <w:rPr>
          <w:sz w:val="24"/>
          <w:szCs w:val="24"/>
        </w:rPr>
        <w:t xml:space="preserve">eserve fund balance as of </w:t>
      </w:r>
      <w:r w:rsidR="00711C22" w:rsidRPr="006D1F5B">
        <w:rPr>
          <w:sz w:val="24"/>
          <w:szCs w:val="24"/>
        </w:rPr>
        <w:t>year-</w:t>
      </w:r>
      <w:r w:rsidR="006D1F5B">
        <w:rPr>
          <w:sz w:val="24"/>
          <w:szCs w:val="24"/>
        </w:rPr>
        <w:t>end 2024</w:t>
      </w:r>
      <w:r w:rsidR="00844C11" w:rsidRPr="006D1F5B">
        <w:rPr>
          <w:sz w:val="24"/>
          <w:szCs w:val="24"/>
        </w:rPr>
        <w:t>:</w:t>
      </w:r>
      <w:r w:rsidR="00A93813" w:rsidRPr="006D1F5B">
        <w:rPr>
          <w:sz w:val="24"/>
          <w:szCs w:val="24"/>
        </w:rPr>
        <w:tab/>
      </w:r>
      <w:r w:rsidR="00844C11" w:rsidRPr="006D1F5B">
        <w:rPr>
          <w:sz w:val="24"/>
          <w:szCs w:val="24"/>
        </w:rPr>
        <w:t>$</w:t>
      </w:r>
      <w:r w:rsidR="006D1F5B">
        <w:rPr>
          <w:sz w:val="24"/>
          <w:szCs w:val="24"/>
        </w:rPr>
        <w:t>255,505.33</w:t>
      </w:r>
    </w:p>
    <w:p w14:paraId="13BE823C" w14:textId="2646CDCC" w:rsidR="00F74D5C" w:rsidRPr="006D1F5B" w:rsidRDefault="00A756D1" w:rsidP="00A9381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6D1F5B">
        <w:rPr>
          <w:sz w:val="24"/>
          <w:szCs w:val="24"/>
        </w:rPr>
        <w:t>Preliminary</w:t>
      </w:r>
      <w:r w:rsidR="002178E4" w:rsidRPr="006D1F5B">
        <w:rPr>
          <w:sz w:val="24"/>
          <w:szCs w:val="24"/>
        </w:rPr>
        <w:t xml:space="preserve"> t</w:t>
      </w:r>
      <w:r w:rsidR="00844C11" w:rsidRPr="006D1F5B">
        <w:rPr>
          <w:sz w:val="24"/>
          <w:szCs w:val="24"/>
        </w:rPr>
        <w:t xml:space="preserve">otal </w:t>
      </w:r>
      <w:r w:rsidR="00F74D5C" w:rsidRPr="006D1F5B">
        <w:rPr>
          <w:sz w:val="24"/>
          <w:szCs w:val="24"/>
        </w:rPr>
        <w:t>cash, treasury investment,</w:t>
      </w:r>
    </w:p>
    <w:p w14:paraId="6B7D8AE8" w14:textId="74281376" w:rsidR="00844C11" w:rsidRPr="006D1F5B" w:rsidRDefault="00F74D5C" w:rsidP="00940A61">
      <w:pPr>
        <w:ind w:left="360" w:firstLine="360"/>
        <w:rPr>
          <w:sz w:val="24"/>
          <w:szCs w:val="24"/>
        </w:rPr>
      </w:pPr>
      <w:r w:rsidRPr="006D1F5B">
        <w:rPr>
          <w:sz w:val="24"/>
          <w:szCs w:val="24"/>
        </w:rPr>
        <w:t xml:space="preserve">&amp; marketable CDs </w:t>
      </w:r>
      <w:r w:rsidR="00711C22" w:rsidRPr="006D1F5B">
        <w:rPr>
          <w:sz w:val="24"/>
          <w:szCs w:val="24"/>
        </w:rPr>
        <w:t>balance as of year-</w:t>
      </w:r>
      <w:r w:rsidR="006D1F5B">
        <w:rPr>
          <w:sz w:val="24"/>
          <w:szCs w:val="24"/>
        </w:rPr>
        <w:t>end 2024</w:t>
      </w:r>
      <w:r w:rsidR="00844C11" w:rsidRPr="006D1F5B">
        <w:rPr>
          <w:sz w:val="24"/>
          <w:szCs w:val="24"/>
        </w:rPr>
        <w:t>:</w:t>
      </w:r>
      <w:r w:rsidR="00A93813" w:rsidRPr="006D1F5B">
        <w:rPr>
          <w:sz w:val="24"/>
          <w:szCs w:val="24"/>
        </w:rPr>
        <w:tab/>
      </w:r>
      <w:r w:rsidR="00A756D1" w:rsidRPr="006D1F5B">
        <w:rPr>
          <w:sz w:val="24"/>
          <w:szCs w:val="24"/>
        </w:rPr>
        <w:tab/>
      </w:r>
      <w:r w:rsidR="00844C11" w:rsidRPr="006D1F5B">
        <w:rPr>
          <w:sz w:val="24"/>
          <w:szCs w:val="24"/>
        </w:rPr>
        <w:t>$</w:t>
      </w:r>
      <w:r w:rsidR="00940A61">
        <w:rPr>
          <w:sz w:val="24"/>
          <w:szCs w:val="24"/>
        </w:rPr>
        <w:t>332,202.83</w:t>
      </w:r>
    </w:p>
    <w:p w14:paraId="6A59F264" w14:textId="41E7BB7B" w:rsidR="00844C11" w:rsidRPr="006D1F5B" w:rsidRDefault="00A756D1" w:rsidP="00940A61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6D1F5B">
        <w:rPr>
          <w:sz w:val="24"/>
          <w:szCs w:val="24"/>
        </w:rPr>
        <w:t>Preliminary</w:t>
      </w:r>
      <w:r w:rsidR="002178E4" w:rsidRPr="006D1F5B">
        <w:rPr>
          <w:sz w:val="24"/>
          <w:szCs w:val="24"/>
        </w:rPr>
        <w:t xml:space="preserve"> t</w:t>
      </w:r>
      <w:r w:rsidR="006D1F5B">
        <w:rPr>
          <w:sz w:val="24"/>
          <w:szCs w:val="24"/>
        </w:rPr>
        <w:t>otal income for 2024</w:t>
      </w:r>
      <w:r w:rsidR="009967E4" w:rsidRPr="006D1F5B">
        <w:rPr>
          <w:sz w:val="24"/>
          <w:szCs w:val="24"/>
        </w:rPr>
        <w:t>:</w:t>
      </w:r>
      <w:r w:rsidR="009967E4" w:rsidRPr="006D1F5B">
        <w:rPr>
          <w:sz w:val="24"/>
          <w:szCs w:val="24"/>
        </w:rPr>
        <w:tab/>
      </w:r>
      <w:r w:rsidR="009967E4" w:rsidRPr="006D1F5B">
        <w:rPr>
          <w:sz w:val="24"/>
          <w:szCs w:val="24"/>
        </w:rPr>
        <w:tab/>
      </w:r>
      <w:r w:rsidR="00A93813" w:rsidRPr="006D1F5B">
        <w:rPr>
          <w:sz w:val="24"/>
          <w:szCs w:val="24"/>
        </w:rPr>
        <w:tab/>
      </w:r>
      <w:r w:rsidRPr="006D1F5B">
        <w:rPr>
          <w:sz w:val="24"/>
          <w:szCs w:val="24"/>
        </w:rPr>
        <w:tab/>
      </w:r>
      <w:r w:rsidR="009967E4" w:rsidRPr="006D1F5B">
        <w:rPr>
          <w:sz w:val="24"/>
          <w:szCs w:val="24"/>
        </w:rPr>
        <w:t>$</w:t>
      </w:r>
      <w:r w:rsidR="00940A61">
        <w:rPr>
          <w:sz w:val="24"/>
          <w:szCs w:val="24"/>
        </w:rPr>
        <w:t>398,223.60</w:t>
      </w:r>
    </w:p>
    <w:p w14:paraId="42695E4F" w14:textId="054C719C" w:rsidR="009967E4" w:rsidRPr="006D1F5B" w:rsidRDefault="00A756D1" w:rsidP="00940A61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6D1F5B">
        <w:rPr>
          <w:sz w:val="24"/>
          <w:szCs w:val="24"/>
        </w:rPr>
        <w:t xml:space="preserve">Preliminary </w:t>
      </w:r>
      <w:r w:rsidR="002178E4" w:rsidRPr="006D1F5B">
        <w:rPr>
          <w:sz w:val="24"/>
          <w:szCs w:val="24"/>
        </w:rPr>
        <w:t>t</w:t>
      </w:r>
      <w:r w:rsidR="006D1F5B">
        <w:rPr>
          <w:sz w:val="24"/>
          <w:szCs w:val="24"/>
        </w:rPr>
        <w:t>otal expenses for 2024</w:t>
      </w:r>
      <w:r w:rsidR="009967E4" w:rsidRPr="006D1F5B">
        <w:rPr>
          <w:sz w:val="24"/>
          <w:szCs w:val="24"/>
        </w:rPr>
        <w:t>:</w:t>
      </w:r>
      <w:r w:rsidR="009967E4" w:rsidRPr="006D1F5B">
        <w:rPr>
          <w:sz w:val="24"/>
          <w:szCs w:val="24"/>
        </w:rPr>
        <w:tab/>
      </w:r>
      <w:r w:rsidR="009967E4" w:rsidRPr="006D1F5B">
        <w:rPr>
          <w:sz w:val="24"/>
          <w:szCs w:val="24"/>
        </w:rPr>
        <w:tab/>
      </w:r>
      <w:r w:rsidR="00A93813" w:rsidRPr="006D1F5B">
        <w:rPr>
          <w:sz w:val="24"/>
          <w:szCs w:val="24"/>
        </w:rPr>
        <w:tab/>
      </w:r>
      <w:r w:rsidRPr="006D1F5B">
        <w:rPr>
          <w:sz w:val="24"/>
          <w:szCs w:val="24"/>
        </w:rPr>
        <w:tab/>
      </w:r>
      <w:r w:rsidR="009967E4" w:rsidRPr="006D1F5B">
        <w:rPr>
          <w:sz w:val="24"/>
          <w:szCs w:val="24"/>
        </w:rPr>
        <w:t>$</w:t>
      </w:r>
      <w:r w:rsidR="00940A61">
        <w:rPr>
          <w:sz w:val="24"/>
          <w:szCs w:val="24"/>
        </w:rPr>
        <w:t>374,085.47</w:t>
      </w:r>
    </w:p>
    <w:p w14:paraId="21D4DDF4" w14:textId="67F20E0F" w:rsidR="00DC27B8" w:rsidRPr="006D1F5B" w:rsidRDefault="00A756D1" w:rsidP="00940A61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6D1F5B">
        <w:rPr>
          <w:sz w:val="24"/>
          <w:szCs w:val="24"/>
        </w:rPr>
        <w:t>Preliminary</w:t>
      </w:r>
      <w:r w:rsidR="002178E4" w:rsidRPr="006D1F5B">
        <w:rPr>
          <w:sz w:val="24"/>
          <w:szCs w:val="24"/>
        </w:rPr>
        <w:t xml:space="preserve"> n</w:t>
      </w:r>
      <w:r w:rsidR="00F23D3F" w:rsidRPr="006D1F5B">
        <w:rPr>
          <w:sz w:val="24"/>
          <w:szCs w:val="24"/>
        </w:rPr>
        <w:t xml:space="preserve">et </w:t>
      </w:r>
      <w:r w:rsidR="00940A61">
        <w:rPr>
          <w:sz w:val="24"/>
          <w:szCs w:val="24"/>
        </w:rPr>
        <w:t xml:space="preserve">surplus </w:t>
      </w:r>
      <w:r w:rsidR="006D1F5B">
        <w:rPr>
          <w:sz w:val="24"/>
          <w:szCs w:val="24"/>
        </w:rPr>
        <w:t>for 2024</w:t>
      </w:r>
      <w:r w:rsidR="00DC27B8" w:rsidRPr="006D1F5B">
        <w:rPr>
          <w:sz w:val="24"/>
          <w:szCs w:val="24"/>
        </w:rPr>
        <w:t>:</w:t>
      </w:r>
      <w:r w:rsidR="00DC27B8" w:rsidRPr="006D1F5B">
        <w:rPr>
          <w:sz w:val="24"/>
          <w:szCs w:val="24"/>
        </w:rPr>
        <w:tab/>
      </w:r>
      <w:r w:rsidR="00DC27B8" w:rsidRPr="006D1F5B">
        <w:rPr>
          <w:sz w:val="24"/>
          <w:szCs w:val="24"/>
        </w:rPr>
        <w:tab/>
      </w:r>
      <w:r w:rsidR="00DC27B8" w:rsidRPr="006D1F5B">
        <w:rPr>
          <w:sz w:val="24"/>
          <w:szCs w:val="24"/>
        </w:rPr>
        <w:tab/>
      </w:r>
      <w:r w:rsidR="00903A42" w:rsidRPr="006D1F5B">
        <w:rPr>
          <w:sz w:val="24"/>
          <w:szCs w:val="24"/>
        </w:rPr>
        <w:t xml:space="preserve">           </w:t>
      </w:r>
      <w:r w:rsidR="00940A61">
        <w:rPr>
          <w:sz w:val="24"/>
          <w:szCs w:val="24"/>
        </w:rPr>
        <w:t xml:space="preserve"> </w:t>
      </w:r>
      <w:r w:rsidR="007B2B82" w:rsidRPr="006D1F5B">
        <w:rPr>
          <w:sz w:val="24"/>
          <w:szCs w:val="24"/>
        </w:rPr>
        <w:t xml:space="preserve"> </w:t>
      </w:r>
      <w:r w:rsidRPr="006D1F5B">
        <w:rPr>
          <w:sz w:val="24"/>
          <w:szCs w:val="24"/>
        </w:rPr>
        <w:t>$</w:t>
      </w:r>
      <w:r w:rsidR="00940A61">
        <w:rPr>
          <w:sz w:val="24"/>
          <w:szCs w:val="24"/>
        </w:rPr>
        <w:t>24,138.13</w:t>
      </w:r>
    </w:p>
    <w:p w14:paraId="4AC42694" w14:textId="2C69D56B" w:rsidR="000227D8" w:rsidRDefault="000227D8" w:rsidP="000227D8">
      <w:pPr>
        <w:rPr>
          <w:b/>
          <w:bCs/>
          <w:sz w:val="24"/>
          <w:szCs w:val="24"/>
          <w:u w:val="single"/>
        </w:rPr>
      </w:pPr>
    </w:p>
    <w:p w14:paraId="732D4402" w14:textId="475880FF" w:rsidR="000227D8" w:rsidRPr="000227D8" w:rsidRDefault="000227D8" w:rsidP="00876EF5">
      <w:pPr>
        <w:pStyle w:val="ListParagraph"/>
        <w:numPr>
          <w:ilvl w:val="0"/>
          <w:numId w:val="2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It will probably be </w:t>
      </w:r>
      <w:r w:rsidR="00876EF5">
        <w:rPr>
          <w:sz w:val="24"/>
          <w:szCs w:val="24"/>
        </w:rPr>
        <w:t>mid-year</w:t>
      </w:r>
      <w:r>
        <w:rPr>
          <w:sz w:val="24"/>
          <w:szCs w:val="24"/>
        </w:rPr>
        <w:t xml:space="preserve"> before our </w:t>
      </w:r>
      <w:r w:rsidR="00F35247">
        <w:rPr>
          <w:sz w:val="24"/>
          <w:szCs w:val="24"/>
        </w:rPr>
        <w:t>2024</w:t>
      </w:r>
      <w:r>
        <w:rPr>
          <w:sz w:val="24"/>
          <w:szCs w:val="24"/>
        </w:rPr>
        <w:t xml:space="preserve"> annual </w:t>
      </w:r>
      <w:r w:rsidR="00711C22">
        <w:rPr>
          <w:sz w:val="24"/>
          <w:szCs w:val="24"/>
        </w:rPr>
        <w:t xml:space="preserve">financial </w:t>
      </w:r>
      <w:r>
        <w:rPr>
          <w:sz w:val="24"/>
          <w:szCs w:val="24"/>
        </w:rPr>
        <w:t>audit is complete. We will make it available to the membership when that happens.</w:t>
      </w:r>
      <w:r w:rsidR="00711C22">
        <w:rPr>
          <w:sz w:val="24"/>
          <w:szCs w:val="24"/>
        </w:rPr>
        <w:t xml:space="preserve">  We should receive an annual reserve study in </w:t>
      </w:r>
      <w:r w:rsidR="00876EF5">
        <w:rPr>
          <w:sz w:val="24"/>
          <w:szCs w:val="24"/>
        </w:rPr>
        <w:t>July</w:t>
      </w:r>
      <w:r w:rsidR="00711C22">
        <w:rPr>
          <w:sz w:val="24"/>
          <w:szCs w:val="24"/>
        </w:rPr>
        <w:t>, and will make it available then</w:t>
      </w:r>
    </w:p>
    <w:p w14:paraId="6A5060D5" w14:textId="28CA1F45" w:rsidR="000227D8" w:rsidRPr="007300D7" w:rsidRDefault="00E64E7C" w:rsidP="00F35247">
      <w:pPr>
        <w:pStyle w:val="ListParagraph"/>
        <w:numPr>
          <w:ilvl w:val="0"/>
          <w:numId w:val="2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As previously stated</w:t>
      </w:r>
      <w:r w:rsidR="003558C0">
        <w:rPr>
          <w:sz w:val="24"/>
          <w:szCs w:val="24"/>
        </w:rPr>
        <w:t>,</w:t>
      </w:r>
      <w:r w:rsidR="00F23D3F">
        <w:rPr>
          <w:sz w:val="24"/>
          <w:szCs w:val="24"/>
        </w:rPr>
        <w:t xml:space="preserve"> at year end</w:t>
      </w:r>
      <w:r w:rsidR="006D1F5B">
        <w:rPr>
          <w:sz w:val="24"/>
          <w:szCs w:val="24"/>
        </w:rPr>
        <w:t xml:space="preserve"> </w:t>
      </w:r>
      <w:r>
        <w:rPr>
          <w:sz w:val="24"/>
          <w:szCs w:val="24"/>
        </w:rPr>
        <w:t>we had $</w:t>
      </w:r>
      <w:r w:rsidR="006D1F5B">
        <w:rPr>
          <w:sz w:val="24"/>
          <w:szCs w:val="24"/>
        </w:rPr>
        <w:t xml:space="preserve">255,505.33 </w:t>
      </w:r>
      <w:r>
        <w:rPr>
          <w:sz w:val="24"/>
          <w:szCs w:val="24"/>
        </w:rPr>
        <w:t xml:space="preserve">in our reserve fund. </w:t>
      </w:r>
      <w:r w:rsidR="00901801">
        <w:rPr>
          <w:sz w:val="24"/>
          <w:szCs w:val="24"/>
        </w:rPr>
        <w:t>The budget committee and board has allocated $</w:t>
      </w:r>
      <w:r w:rsidR="00876EF5">
        <w:rPr>
          <w:sz w:val="24"/>
          <w:szCs w:val="24"/>
        </w:rPr>
        <w:t xml:space="preserve">99,360 </w:t>
      </w:r>
      <w:r w:rsidR="007300D7">
        <w:rPr>
          <w:sz w:val="24"/>
          <w:szCs w:val="24"/>
        </w:rPr>
        <w:t xml:space="preserve">of the reserve fund </w:t>
      </w:r>
      <w:r w:rsidR="00901801">
        <w:rPr>
          <w:sz w:val="24"/>
          <w:szCs w:val="24"/>
        </w:rPr>
        <w:t>for repair</w:t>
      </w:r>
      <w:r w:rsidR="00F35247">
        <w:rPr>
          <w:sz w:val="24"/>
          <w:szCs w:val="24"/>
        </w:rPr>
        <w:t xml:space="preserve"> or replacement costs in 2025</w:t>
      </w:r>
      <w:r w:rsidR="00901801">
        <w:rPr>
          <w:sz w:val="24"/>
          <w:szCs w:val="24"/>
        </w:rPr>
        <w:t xml:space="preserve">. </w:t>
      </w:r>
      <w:r w:rsidR="007300D7">
        <w:rPr>
          <w:sz w:val="24"/>
          <w:szCs w:val="24"/>
        </w:rPr>
        <w:t>The largest single item expense</w:t>
      </w:r>
      <w:r w:rsidR="00711C22">
        <w:rPr>
          <w:sz w:val="24"/>
          <w:szCs w:val="24"/>
        </w:rPr>
        <w:t xml:space="preserve">s in the </w:t>
      </w:r>
      <w:r w:rsidR="00102E76">
        <w:rPr>
          <w:sz w:val="24"/>
          <w:szCs w:val="24"/>
        </w:rPr>
        <w:t xml:space="preserve">2025 </w:t>
      </w:r>
      <w:r w:rsidR="00711C22">
        <w:rPr>
          <w:sz w:val="24"/>
          <w:szCs w:val="24"/>
        </w:rPr>
        <w:t xml:space="preserve">reserve fund budget </w:t>
      </w:r>
      <w:r w:rsidR="00A74712">
        <w:rPr>
          <w:sz w:val="24"/>
          <w:szCs w:val="24"/>
        </w:rPr>
        <w:t>is window replacement at $</w:t>
      </w:r>
      <w:r w:rsidR="00876EF5">
        <w:rPr>
          <w:sz w:val="24"/>
          <w:szCs w:val="24"/>
        </w:rPr>
        <w:t>30.000</w:t>
      </w:r>
      <w:r w:rsidR="00E01F25">
        <w:rPr>
          <w:sz w:val="24"/>
          <w:szCs w:val="24"/>
        </w:rPr>
        <w:t>.</w:t>
      </w:r>
    </w:p>
    <w:p w14:paraId="45D64D75" w14:textId="3D961ADD" w:rsidR="007300D7" w:rsidRPr="000227D8" w:rsidRDefault="007300D7" w:rsidP="000227D8">
      <w:pPr>
        <w:pStyle w:val="ListParagraph"/>
        <w:numPr>
          <w:ilvl w:val="0"/>
          <w:numId w:val="2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We have no unsatisfied judgements or pending lawsuits of any kind.</w:t>
      </w:r>
      <w:r w:rsidR="00102E76">
        <w:rPr>
          <w:sz w:val="24"/>
          <w:szCs w:val="24"/>
        </w:rPr>
        <w:t xml:space="preserve">  </w:t>
      </w:r>
      <w:proofErr w:type="gramStart"/>
      <w:r w:rsidR="00102E76">
        <w:rPr>
          <w:sz w:val="24"/>
          <w:szCs w:val="24"/>
        </w:rPr>
        <w:t>However</w:t>
      </w:r>
      <w:proofErr w:type="gramEnd"/>
      <w:r w:rsidR="00102E76">
        <w:rPr>
          <w:sz w:val="24"/>
          <w:szCs w:val="24"/>
        </w:rPr>
        <w:t xml:space="preserve"> we are expecting to collect $10,119.96 from Comcast or Sound Drilling LLC as reimbursement for our cost of repairing the damage they caused to the electric line to unit 1198.</w:t>
      </w:r>
    </w:p>
    <w:p w14:paraId="0A25E1B4" w14:textId="77777777" w:rsidR="000227D8" w:rsidRPr="000227D8" w:rsidRDefault="000227D8" w:rsidP="000227D8">
      <w:pPr>
        <w:rPr>
          <w:b/>
          <w:bCs/>
          <w:sz w:val="24"/>
          <w:szCs w:val="24"/>
          <w:u w:val="single"/>
        </w:rPr>
      </w:pPr>
    </w:p>
    <w:p w14:paraId="4BDE9CBD" w14:textId="34CC6346" w:rsidR="00DC27B8" w:rsidRDefault="00DC27B8" w:rsidP="00DC27B8">
      <w:pPr>
        <w:rPr>
          <w:b/>
          <w:bCs/>
          <w:sz w:val="24"/>
          <w:szCs w:val="24"/>
          <w:u w:val="single"/>
        </w:rPr>
      </w:pPr>
    </w:p>
    <w:p w14:paraId="20093A57" w14:textId="77777777" w:rsidR="00DC27B8" w:rsidRPr="00DC27B8" w:rsidRDefault="00DC27B8" w:rsidP="00DC27B8">
      <w:pPr>
        <w:rPr>
          <w:b/>
          <w:bCs/>
          <w:sz w:val="24"/>
          <w:szCs w:val="24"/>
          <w:u w:val="single"/>
        </w:rPr>
      </w:pPr>
    </w:p>
    <w:p w14:paraId="3FC82737" w14:textId="7C9549C9" w:rsidR="00085282" w:rsidRPr="00844C11" w:rsidRDefault="00085282" w:rsidP="00085282">
      <w:pPr>
        <w:rPr>
          <w:b/>
          <w:bCs/>
          <w:sz w:val="24"/>
          <w:szCs w:val="24"/>
          <w:u w:val="single"/>
        </w:rPr>
      </w:pPr>
    </w:p>
    <w:p w14:paraId="063C97F0" w14:textId="77777777" w:rsidR="00085282" w:rsidRPr="00085282" w:rsidRDefault="00085282" w:rsidP="00085282">
      <w:pPr>
        <w:rPr>
          <w:b/>
          <w:bCs/>
          <w:sz w:val="24"/>
          <w:szCs w:val="24"/>
        </w:rPr>
      </w:pPr>
    </w:p>
    <w:sectPr w:rsidR="00085282" w:rsidRPr="0008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799176B"/>
    <w:multiLevelType w:val="hybridMultilevel"/>
    <w:tmpl w:val="214C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0C5BB7"/>
    <w:multiLevelType w:val="hybridMultilevel"/>
    <w:tmpl w:val="4E1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53E7410"/>
    <w:multiLevelType w:val="hybridMultilevel"/>
    <w:tmpl w:val="C8D0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2"/>
  </w:num>
  <w:num w:numId="23">
    <w:abstractNumId w:val="25"/>
  </w:num>
  <w:num w:numId="24">
    <w:abstractNumId w:val="21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F2"/>
    <w:rsid w:val="000227D8"/>
    <w:rsid w:val="00057696"/>
    <w:rsid w:val="00085282"/>
    <w:rsid w:val="000F6431"/>
    <w:rsid w:val="00102E76"/>
    <w:rsid w:val="0012617D"/>
    <w:rsid w:val="00127E33"/>
    <w:rsid w:val="00206937"/>
    <w:rsid w:val="002178E4"/>
    <w:rsid w:val="00264232"/>
    <w:rsid w:val="002A1A6C"/>
    <w:rsid w:val="002F578F"/>
    <w:rsid w:val="003558C0"/>
    <w:rsid w:val="003B2D53"/>
    <w:rsid w:val="00490D4B"/>
    <w:rsid w:val="004B326A"/>
    <w:rsid w:val="004B7415"/>
    <w:rsid w:val="004F5799"/>
    <w:rsid w:val="0058292D"/>
    <w:rsid w:val="00603059"/>
    <w:rsid w:val="00643A88"/>
    <w:rsid w:val="00645252"/>
    <w:rsid w:val="006A5B6E"/>
    <w:rsid w:val="006C2D9C"/>
    <w:rsid w:val="006D1F5B"/>
    <w:rsid w:val="006D3D74"/>
    <w:rsid w:val="006F7DB7"/>
    <w:rsid w:val="00711C22"/>
    <w:rsid w:val="00715661"/>
    <w:rsid w:val="007218A6"/>
    <w:rsid w:val="007300D7"/>
    <w:rsid w:val="00784D9F"/>
    <w:rsid w:val="007B2B82"/>
    <w:rsid w:val="0083569A"/>
    <w:rsid w:val="00844C11"/>
    <w:rsid w:val="00876EF5"/>
    <w:rsid w:val="00901801"/>
    <w:rsid w:val="00902260"/>
    <w:rsid w:val="00903A42"/>
    <w:rsid w:val="00940A61"/>
    <w:rsid w:val="00950FF2"/>
    <w:rsid w:val="009967E4"/>
    <w:rsid w:val="009D50D9"/>
    <w:rsid w:val="00A21A46"/>
    <w:rsid w:val="00A54E76"/>
    <w:rsid w:val="00A74712"/>
    <w:rsid w:val="00A756D1"/>
    <w:rsid w:val="00A8578C"/>
    <w:rsid w:val="00A9204E"/>
    <w:rsid w:val="00A93813"/>
    <w:rsid w:val="00AB5C30"/>
    <w:rsid w:val="00AC2F00"/>
    <w:rsid w:val="00AD1140"/>
    <w:rsid w:val="00B040BD"/>
    <w:rsid w:val="00B26E45"/>
    <w:rsid w:val="00B94C7C"/>
    <w:rsid w:val="00BB0D63"/>
    <w:rsid w:val="00C223E1"/>
    <w:rsid w:val="00C640DE"/>
    <w:rsid w:val="00CE0E4B"/>
    <w:rsid w:val="00D07A66"/>
    <w:rsid w:val="00D149FF"/>
    <w:rsid w:val="00DB1D91"/>
    <w:rsid w:val="00DC27B8"/>
    <w:rsid w:val="00E01F25"/>
    <w:rsid w:val="00E64E7C"/>
    <w:rsid w:val="00EF76E5"/>
    <w:rsid w:val="00F23D3F"/>
    <w:rsid w:val="00F35247"/>
    <w:rsid w:val="00F41E32"/>
    <w:rsid w:val="00F627A0"/>
    <w:rsid w:val="00F74D5C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613D"/>
  <w15:chartTrackingRefBased/>
  <w15:docId w15:val="{81C9944C-41F0-4136-83A6-8BE69135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07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CSH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C:\Users\ECSHE\AppData\Roaming\Microsoft\Templates\Single spaced (blank).dotx</Template>
  <TotalTime>44</TotalTime>
  <Pages>1</Pages>
  <Words>291</Words>
  <Characters>1665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and Cindy Sheneman</dc:creator>
  <cp:keywords/>
  <dc:description/>
  <cp:lastModifiedBy>Rupert Ayton</cp:lastModifiedBy>
  <cp:revision>12</cp:revision>
  <dcterms:created xsi:type="dcterms:W3CDTF">2023-03-02T21:08:00Z</dcterms:created>
  <dcterms:modified xsi:type="dcterms:W3CDTF">2025-01-16T00:49:00Z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